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9C8" w:rsidRDefault="000909C8" w:rsidP="00786129">
      <w:r w:rsidRPr="000909C8">
        <w:rPr>
          <w:highlight w:val="yellow"/>
        </w:rPr>
        <w:t>Key Articles and Annexes to remember - MDR</w:t>
      </w:r>
    </w:p>
    <w:p w:rsidR="00786129" w:rsidRDefault="00786129" w:rsidP="00786129">
      <w:r>
        <w:t>Article 2 Definitions</w:t>
      </w:r>
      <w:r>
        <w:tab/>
      </w:r>
    </w:p>
    <w:p w:rsidR="00786129" w:rsidRDefault="00786129" w:rsidP="00786129"/>
    <w:p w:rsidR="00786129" w:rsidRDefault="00786129" w:rsidP="00786129">
      <w:r>
        <w:t xml:space="preserve">CHAPTER </w:t>
      </w:r>
      <w:proofErr w:type="gramStart"/>
      <w:r>
        <w:t>II :</w:t>
      </w:r>
      <w:proofErr w:type="gramEnd"/>
      <w:r>
        <w:t xml:space="preserve"> MAKING AVAILABLE ON THE MARKET AND PUTTING INTO SERVICE OF DEVICES, OBLIGATIONS OF ECONOMIC OPERATORS, REPROCESSING, CE MARKING, FREE MOVEMENT</w:t>
      </w:r>
      <w:r>
        <w:tab/>
        <w:t>26</w:t>
      </w:r>
    </w:p>
    <w:p w:rsidR="00786129" w:rsidRDefault="00786129" w:rsidP="00786129">
      <w:r>
        <w:t>Article 8: Use of harmonised standards</w:t>
      </w:r>
      <w:r>
        <w:tab/>
      </w:r>
      <w:r>
        <w:tab/>
      </w:r>
      <w:r>
        <w:tab/>
      </w:r>
      <w:r>
        <w:tab/>
      </w:r>
      <w:r>
        <w:tab/>
      </w:r>
      <w:r>
        <w:tab/>
      </w:r>
      <w:r>
        <w:tab/>
      </w:r>
      <w:r>
        <w:tab/>
      </w:r>
      <w:r>
        <w:t>28</w:t>
      </w:r>
    </w:p>
    <w:p w:rsidR="00786129" w:rsidRDefault="00786129" w:rsidP="00786129">
      <w:r>
        <w:t>Article 9: Common specifications</w:t>
      </w:r>
      <w:r>
        <w:tab/>
      </w:r>
      <w:r>
        <w:tab/>
      </w:r>
      <w:r>
        <w:tab/>
      </w:r>
      <w:r>
        <w:tab/>
      </w:r>
      <w:r>
        <w:tab/>
      </w:r>
      <w:r>
        <w:tab/>
      </w:r>
      <w:r>
        <w:tab/>
      </w:r>
      <w:r>
        <w:tab/>
      </w:r>
      <w:r>
        <w:t>28</w:t>
      </w:r>
    </w:p>
    <w:p w:rsidR="00786129" w:rsidRDefault="00786129" w:rsidP="00786129">
      <w:r w:rsidRPr="000909C8">
        <w:rPr>
          <w:highlight w:val="yellow"/>
        </w:rPr>
        <w:t>Article 10: General obligations of manufacturers</w:t>
      </w:r>
      <w:r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28</w:t>
      </w:r>
    </w:p>
    <w:p w:rsidR="00786129" w:rsidRDefault="00786129" w:rsidP="00786129">
      <w:r>
        <w:t>Article 15: Person responsible for regulatory compliance</w:t>
      </w:r>
      <w:r>
        <w:tab/>
      </w:r>
      <w:r>
        <w:tab/>
      </w:r>
      <w:r>
        <w:tab/>
      </w:r>
      <w:r>
        <w:tab/>
      </w:r>
      <w:r>
        <w:tab/>
      </w:r>
      <w:r>
        <w:tab/>
      </w:r>
      <w:r>
        <w:t>34</w:t>
      </w:r>
    </w:p>
    <w:p w:rsidR="00786129" w:rsidRDefault="00786129" w:rsidP="00786129">
      <w:r>
        <w:t>Article 19: EU declaration of conformity</w:t>
      </w:r>
      <w:r>
        <w:tab/>
      </w:r>
      <w:r>
        <w:tab/>
      </w:r>
      <w:r>
        <w:tab/>
      </w:r>
      <w:r>
        <w:tab/>
      </w:r>
      <w:r>
        <w:tab/>
      </w:r>
      <w:r>
        <w:tab/>
      </w:r>
      <w:r>
        <w:tab/>
      </w:r>
      <w:r>
        <w:tab/>
      </w:r>
      <w:r>
        <w:t>37</w:t>
      </w:r>
    </w:p>
    <w:p w:rsidR="00786129" w:rsidRDefault="00786129" w:rsidP="00786129">
      <w:r>
        <w:t>Article 20: CE marking of conformity</w:t>
      </w:r>
      <w:r>
        <w:tab/>
      </w:r>
      <w:r>
        <w:tab/>
      </w:r>
      <w:r>
        <w:tab/>
      </w:r>
      <w:r>
        <w:tab/>
      </w:r>
      <w:r>
        <w:tab/>
      </w:r>
      <w:r>
        <w:tab/>
      </w:r>
      <w:r>
        <w:tab/>
      </w:r>
      <w:r>
        <w:tab/>
      </w:r>
      <w:r>
        <w:t>38</w:t>
      </w:r>
    </w:p>
    <w:p w:rsidR="00786129" w:rsidRDefault="00786129" w:rsidP="00786129">
      <w:r>
        <w:t>CHAPTER III: IDENTIFICATION AND TRACEABILITY OF DEVICES, REGISTRATION OF DEVICES AND OF ECONOMIC</w:t>
      </w:r>
      <w:r>
        <w:tab/>
      </w:r>
      <w:r>
        <w:tab/>
      </w:r>
      <w:r>
        <w:tab/>
      </w:r>
      <w:r>
        <w:tab/>
      </w:r>
      <w:r>
        <w:tab/>
      </w:r>
      <w:r>
        <w:tab/>
      </w:r>
      <w:r>
        <w:tab/>
      </w:r>
      <w:r>
        <w:tab/>
      </w:r>
      <w:r>
        <w:tab/>
      </w:r>
      <w:r>
        <w:tab/>
      </w:r>
      <w:r>
        <w:tab/>
      </w:r>
      <w:r>
        <w:t>40</w:t>
      </w:r>
    </w:p>
    <w:p w:rsidR="00786129" w:rsidRDefault="00786129" w:rsidP="00786129">
      <w:r w:rsidRPr="000909C8">
        <w:rPr>
          <w:highlight w:val="yellow"/>
        </w:rPr>
        <w:t>Article 27: Unique Device Identification system</w:t>
      </w:r>
      <w:r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41</w:t>
      </w:r>
    </w:p>
    <w:p w:rsidR="00786129" w:rsidRDefault="00786129" w:rsidP="00786129">
      <w:r>
        <w:t>Article 28: UDI database</w:t>
      </w:r>
      <w:r>
        <w:tab/>
      </w:r>
      <w:r>
        <w:tab/>
      </w:r>
      <w:r>
        <w:tab/>
      </w:r>
      <w:r>
        <w:tab/>
      </w:r>
      <w:r>
        <w:tab/>
      </w:r>
      <w:r>
        <w:tab/>
      </w:r>
      <w:r>
        <w:tab/>
      </w:r>
      <w:r>
        <w:tab/>
      </w:r>
      <w:r>
        <w:tab/>
      </w:r>
      <w:r>
        <w:t>43</w:t>
      </w:r>
    </w:p>
    <w:p w:rsidR="00786129" w:rsidRDefault="00786129" w:rsidP="00786129">
      <w:r>
        <w:t>Article 29: Registration of devices</w:t>
      </w:r>
      <w:r>
        <w:tab/>
      </w:r>
      <w:r>
        <w:tab/>
      </w:r>
      <w:r>
        <w:tab/>
      </w:r>
      <w:r>
        <w:tab/>
      </w:r>
      <w:r>
        <w:tab/>
      </w:r>
      <w:r>
        <w:tab/>
      </w:r>
      <w:r>
        <w:tab/>
      </w:r>
      <w:r>
        <w:tab/>
      </w:r>
      <w:r>
        <w:t>43</w:t>
      </w:r>
    </w:p>
    <w:p w:rsidR="00786129" w:rsidRDefault="00786129" w:rsidP="00786129">
      <w:r>
        <w:t>Article 30: Electronic system for registration of economic operators</w:t>
      </w:r>
      <w:r>
        <w:tab/>
      </w:r>
      <w:r>
        <w:tab/>
      </w:r>
      <w:r>
        <w:tab/>
      </w:r>
      <w:r>
        <w:tab/>
      </w:r>
      <w:r>
        <w:t>43</w:t>
      </w:r>
    </w:p>
    <w:p w:rsidR="00786129" w:rsidRDefault="00786129" w:rsidP="00786129">
      <w:r>
        <w:t>Article 31: Registration of manufacturers, authorised representatives and importers</w:t>
      </w:r>
      <w:r>
        <w:tab/>
      </w:r>
      <w:r>
        <w:tab/>
      </w:r>
      <w:r>
        <w:t>44</w:t>
      </w:r>
    </w:p>
    <w:p w:rsidR="00786129" w:rsidRDefault="00786129" w:rsidP="00786129">
      <w:r>
        <w:t>Article 32: Summary of safety and clinical performance</w:t>
      </w:r>
      <w:r>
        <w:tab/>
      </w:r>
      <w:r>
        <w:tab/>
      </w:r>
      <w:r>
        <w:tab/>
      </w:r>
      <w:r>
        <w:tab/>
      </w:r>
      <w:r>
        <w:tab/>
      </w:r>
      <w:r>
        <w:tab/>
      </w:r>
      <w:r>
        <w:t>44</w:t>
      </w:r>
    </w:p>
    <w:p w:rsidR="00786129" w:rsidRDefault="00786129" w:rsidP="00786129">
      <w:r>
        <w:t>Article 33: European database on medical devices</w:t>
      </w:r>
      <w:r>
        <w:tab/>
      </w:r>
      <w:r>
        <w:tab/>
      </w:r>
      <w:r>
        <w:tab/>
      </w:r>
      <w:r>
        <w:tab/>
      </w:r>
      <w:r>
        <w:tab/>
      </w:r>
      <w:r>
        <w:tab/>
      </w:r>
      <w:r>
        <w:t>45</w:t>
      </w:r>
    </w:p>
    <w:p w:rsidR="00786129" w:rsidRDefault="00786129" w:rsidP="00786129">
      <w:r>
        <w:t xml:space="preserve">Article 34: Functionality of </w:t>
      </w:r>
      <w:proofErr w:type="spellStart"/>
      <w:r>
        <w:t>Eudamed</w:t>
      </w:r>
      <w:proofErr w:type="spellEnd"/>
      <w:r>
        <w:tab/>
      </w:r>
      <w:r>
        <w:tab/>
      </w:r>
      <w:r>
        <w:tab/>
      </w:r>
      <w:r>
        <w:tab/>
      </w:r>
      <w:r>
        <w:tab/>
      </w:r>
      <w:r>
        <w:tab/>
      </w:r>
      <w:r>
        <w:tab/>
      </w:r>
      <w:r>
        <w:tab/>
      </w:r>
      <w:r>
        <w:t>47</w:t>
      </w:r>
    </w:p>
    <w:p w:rsidR="00786129" w:rsidRDefault="00786129" w:rsidP="00786129">
      <w:r>
        <w:t>CHAPTER V: CLASSIFICATION AND CONFORMITY ASSESSMENT</w:t>
      </w:r>
      <w:r>
        <w:tab/>
      </w:r>
      <w:r>
        <w:tab/>
      </w:r>
      <w:r>
        <w:tab/>
      </w:r>
      <w:r>
        <w:tab/>
      </w:r>
      <w:r>
        <w:tab/>
      </w:r>
      <w:r>
        <w:t>56</w:t>
      </w:r>
    </w:p>
    <w:p w:rsidR="00786129" w:rsidRDefault="00786129" w:rsidP="00786129">
      <w:r>
        <w:t>SECTION 1: Classification</w:t>
      </w:r>
      <w:r>
        <w:tab/>
      </w:r>
      <w:r>
        <w:tab/>
      </w:r>
      <w:r>
        <w:tab/>
      </w:r>
      <w:r>
        <w:tab/>
      </w:r>
      <w:r>
        <w:tab/>
      </w:r>
      <w:r>
        <w:tab/>
      </w:r>
      <w:r>
        <w:tab/>
      </w:r>
      <w:r>
        <w:tab/>
      </w:r>
      <w:r>
        <w:tab/>
      </w:r>
      <w:r>
        <w:t>56</w:t>
      </w:r>
    </w:p>
    <w:p w:rsidR="00786129" w:rsidRDefault="00786129" w:rsidP="00786129">
      <w:r w:rsidRPr="000909C8">
        <w:rPr>
          <w:highlight w:val="yellow"/>
        </w:rPr>
        <w:t>Article 51: Classification of devices</w:t>
      </w:r>
      <w:r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56</w:t>
      </w:r>
    </w:p>
    <w:p w:rsidR="00786129" w:rsidRDefault="00786129" w:rsidP="00786129">
      <w:r>
        <w:t>SECTION 2: Conformity assessment</w:t>
      </w:r>
      <w:r>
        <w:tab/>
      </w:r>
      <w:r>
        <w:tab/>
      </w:r>
      <w:r>
        <w:tab/>
      </w:r>
      <w:r>
        <w:tab/>
      </w:r>
      <w:r>
        <w:tab/>
      </w:r>
      <w:r>
        <w:tab/>
      </w:r>
      <w:r>
        <w:tab/>
      </w:r>
      <w:r>
        <w:tab/>
      </w:r>
      <w:r>
        <w:t>57</w:t>
      </w:r>
    </w:p>
    <w:p w:rsidR="00786129" w:rsidRDefault="00786129" w:rsidP="00786129">
      <w:r w:rsidRPr="000909C8">
        <w:rPr>
          <w:highlight w:val="yellow"/>
        </w:rPr>
        <w:t>Article 52: Conformity assessment procedures</w:t>
      </w:r>
      <w:r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57</w:t>
      </w:r>
    </w:p>
    <w:p w:rsidR="00786129" w:rsidRDefault="00786129" w:rsidP="00786129">
      <w:r>
        <w:t>Article 53: Involvement of notified bodies in conformity assessment procedures</w:t>
      </w:r>
      <w:r>
        <w:tab/>
      </w:r>
      <w:r>
        <w:tab/>
      </w:r>
      <w:r>
        <w:tab/>
      </w:r>
      <w:r>
        <w:t>59</w:t>
      </w:r>
    </w:p>
    <w:p w:rsidR="00786129" w:rsidRDefault="00786129" w:rsidP="00786129">
      <w:r>
        <w:t xml:space="preserve">Article 54: Clinical evaluation consultation procedure for certain class III and class </w:t>
      </w:r>
      <w:proofErr w:type="spellStart"/>
      <w:r>
        <w:t>IIb</w:t>
      </w:r>
      <w:proofErr w:type="spellEnd"/>
      <w:r>
        <w:t xml:space="preserve"> devices</w:t>
      </w:r>
      <w:r>
        <w:tab/>
        <w:t>59</w:t>
      </w:r>
    </w:p>
    <w:p w:rsidR="00786129" w:rsidRDefault="00786129" w:rsidP="00786129">
      <w:r>
        <w:lastRenderedPageBreak/>
        <w:t>Article 56: Certificates of conformity</w:t>
      </w:r>
      <w:r>
        <w:tab/>
      </w:r>
      <w:r>
        <w:tab/>
      </w:r>
      <w:r>
        <w:tab/>
      </w:r>
      <w:r>
        <w:tab/>
      </w:r>
      <w:r>
        <w:tab/>
      </w:r>
      <w:r>
        <w:tab/>
      </w:r>
      <w:r>
        <w:tab/>
      </w:r>
      <w:r>
        <w:tab/>
      </w:r>
      <w:r>
        <w:t>60</w:t>
      </w:r>
    </w:p>
    <w:p w:rsidR="00786129" w:rsidRDefault="00786129" w:rsidP="00786129">
      <w:r>
        <w:t>Article 57: Electronic system on notified bodies and on certificates of conformity</w:t>
      </w:r>
      <w:r>
        <w:tab/>
      </w:r>
      <w:r>
        <w:tab/>
      </w:r>
      <w:r>
        <w:tab/>
      </w:r>
      <w:r>
        <w:t>61</w:t>
      </w:r>
    </w:p>
    <w:p w:rsidR="00786129" w:rsidRDefault="00786129" w:rsidP="00786129">
      <w:r>
        <w:t>CHAPTER VI: CLINICAL EVALUATION AND CLINICAL INVESTIGATIONS</w:t>
      </w:r>
      <w:r>
        <w:tab/>
      </w:r>
      <w:r>
        <w:tab/>
      </w:r>
      <w:r>
        <w:tab/>
      </w:r>
      <w:r>
        <w:tab/>
      </w:r>
      <w:r>
        <w:t>62</w:t>
      </w:r>
    </w:p>
    <w:p w:rsidR="00786129" w:rsidRDefault="00786129" w:rsidP="00786129">
      <w:r w:rsidRPr="000909C8">
        <w:rPr>
          <w:highlight w:val="yellow"/>
        </w:rPr>
        <w:t>Article 61: Clinical evaluation</w:t>
      </w:r>
      <w:r w:rsidRPr="000909C8">
        <w:rPr>
          <w:highlight w:val="yellow"/>
        </w:rPr>
        <w:tab/>
      </w:r>
      <w:r w:rsidR="000909C8" w:rsidRPr="000909C8">
        <w:rPr>
          <w:highlight w:val="yellow"/>
        </w:rPr>
        <w:t>(Article 61 – 82)</w:t>
      </w:r>
      <w:r w:rsidR="000909C8" w:rsidRPr="000909C8">
        <w:rPr>
          <w:highlight w:val="yellow"/>
        </w:rPr>
        <w:tab/>
      </w:r>
      <w:r w:rsidR="000909C8" w:rsidRPr="000909C8">
        <w:rPr>
          <w:highlight w:val="yellow"/>
        </w:rPr>
        <w:tab/>
      </w:r>
      <w:r w:rsidR="000909C8" w:rsidRPr="000909C8">
        <w:rPr>
          <w:highlight w:val="yellow"/>
        </w:rPr>
        <w:tab/>
      </w:r>
      <w:r w:rsidR="000909C8" w:rsidRPr="000909C8">
        <w:rPr>
          <w:highlight w:val="yellow"/>
        </w:rPr>
        <w:tab/>
      </w:r>
      <w:r w:rsidRPr="000909C8">
        <w:rPr>
          <w:highlight w:val="yellow"/>
        </w:rPr>
        <w:tab/>
      </w:r>
      <w:r w:rsidRPr="000909C8">
        <w:rPr>
          <w:highlight w:val="yellow"/>
        </w:rPr>
        <w:tab/>
      </w:r>
      <w:r w:rsidRPr="000909C8">
        <w:rPr>
          <w:highlight w:val="yellow"/>
        </w:rPr>
        <w:tab/>
      </w:r>
      <w:r w:rsidRPr="000909C8">
        <w:rPr>
          <w:highlight w:val="yellow"/>
        </w:rPr>
        <w:t>62</w:t>
      </w:r>
    </w:p>
    <w:p w:rsidR="00786129" w:rsidRDefault="00786129" w:rsidP="00786129">
      <w:r>
        <w:t>Article 62: General requirements regarding clinical investigations conducted to demonstrate conformity of devices</w:t>
      </w:r>
      <w:r>
        <w:tab/>
      </w:r>
      <w:r>
        <w:tab/>
      </w:r>
      <w:r>
        <w:tab/>
      </w:r>
      <w:r>
        <w:tab/>
      </w:r>
      <w:r>
        <w:tab/>
      </w:r>
      <w:r>
        <w:tab/>
      </w:r>
      <w:r>
        <w:tab/>
      </w:r>
      <w:r>
        <w:tab/>
      </w:r>
      <w:r>
        <w:tab/>
      </w:r>
      <w:r>
        <w:tab/>
      </w:r>
      <w:r>
        <w:t>64</w:t>
      </w:r>
    </w:p>
    <w:p w:rsidR="00786129" w:rsidRDefault="00786129" w:rsidP="00786129">
      <w:r>
        <w:t>Article 63: Informed consent</w:t>
      </w:r>
      <w:r>
        <w:tab/>
      </w:r>
      <w:r>
        <w:tab/>
      </w:r>
      <w:r>
        <w:tab/>
      </w:r>
      <w:r>
        <w:tab/>
      </w:r>
      <w:r>
        <w:tab/>
      </w:r>
      <w:r>
        <w:tab/>
      </w:r>
      <w:r>
        <w:tab/>
      </w:r>
      <w:r>
        <w:tab/>
      </w:r>
      <w:r>
        <w:tab/>
      </w:r>
      <w:r>
        <w:t>66</w:t>
      </w:r>
    </w:p>
    <w:p w:rsidR="00786129" w:rsidRDefault="00786129" w:rsidP="00786129">
      <w:r>
        <w:t>Article 64: Clinical investigations on incapacitated subjects</w:t>
      </w:r>
      <w:r>
        <w:tab/>
      </w:r>
      <w:r>
        <w:tab/>
      </w:r>
      <w:r>
        <w:tab/>
      </w:r>
      <w:r>
        <w:tab/>
      </w:r>
      <w:r>
        <w:tab/>
      </w:r>
      <w:r>
        <w:t>67</w:t>
      </w:r>
    </w:p>
    <w:p w:rsidR="00786129" w:rsidRDefault="00786129" w:rsidP="00786129">
      <w:r>
        <w:t>Article 65: Clinical investigations on minors</w:t>
      </w:r>
      <w:r>
        <w:tab/>
      </w:r>
      <w:r>
        <w:tab/>
      </w:r>
      <w:r>
        <w:tab/>
      </w:r>
      <w:r>
        <w:tab/>
      </w:r>
      <w:r>
        <w:tab/>
      </w:r>
      <w:r>
        <w:tab/>
      </w:r>
      <w:r>
        <w:tab/>
      </w:r>
      <w:r>
        <w:t>67</w:t>
      </w:r>
    </w:p>
    <w:p w:rsidR="00786129" w:rsidRDefault="00786129" w:rsidP="00786129">
      <w:r>
        <w:t>Article 66: Clinical investigations on pregnant or breastfeeding women</w:t>
      </w:r>
      <w:r>
        <w:tab/>
      </w:r>
      <w:r>
        <w:tab/>
      </w:r>
      <w:r>
        <w:tab/>
      </w:r>
      <w:r>
        <w:tab/>
      </w:r>
      <w:r>
        <w:t>68</w:t>
      </w:r>
    </w:p>
    <w:p w:rsidR="00786129" w:rsidRDefault="00786129" w:rsidP="00786129">
      <w:r>
        <w:t>Article 67: Additional national measures</w:t>
      </w:r>
      <w:r>
        <w:tab/>
      </w:r>
      <w:r>
        <w:tab/>
      </w:r>
      <w:r>
        <w:tab/>
      </w:r>
      <w:r>
        <w:tab/>
      </w:r>
      <w:r>
        <w:tab/>
      </w:r>
      <w:r>
        <w:tab/>
      </w:r>
      <w:r>
        <w:tab/>
      </w:r>
      <w:r>
        <w:tab/>
      </w:r>
      <w:r>
        <w:t>68</w:t>
      </w:r>
    </w:p>
    <w:p w:rsidR="00786129" w:rsidRDefault="00786129" w:rsidP="00786129">
      <w:r>
        <w:t>Article 68: Clinical investigations in emergency situations</w:t>
      </w:r>
      <w:r>
        <w:tab/>
      </w:r>
      <w:r>
        <w:tab/>
      </w:r>
      <w:r>
        <w:tab/>
      </w:r>
      <w:r>
        <w:tab/>
      </w:r>
      <w:r>
        <w:tab/>
      </w:r>
      <w:r>
        <w:t>68</w:t>
      </w:r>
    </w:p>
    <w:p w:rsidR="00786129" w:rsidRDefault="00786129" w:rsidP="00786129">
      <w:r>
        <w:t>Article 69: Damage compensation</w:t>
      </w:r>
      <w:r>
        <w:tab/>
      </w:r>
      <w:r>
        <w:tab/>
      </w:r>
      <w:r>
        <w:tab/>
      </w:r>
      <w:r>
        <w:tab/>
      </w:r>
      <w:r>
        <w:tab/>
      </w:r>
      <w:r>
        <w:tab/>
      </w:r>
      <w:r>
        <w:tab/>
      </w:r>
      <w:r>
        <w:tab/>
      </w:r>
      <w:r>
        <w:t>69</w:t>
      </w:r>
    </w:p>
    <w:p w:rsidR="00786129" w:rsidRDefault="00786129" w:rsidP="00786129">
      <w:r>
        <w:t>Article 70: Application for clinical investigations</w:t>
      </w:r>
      <w:r>
        <w:tab/>
      </w:r>
      <w:r>
        <w:tab/>
      </w:r>
      <w:r>
        <w:tab/>
      </w:r>
      <w:r>
        <w:tab/>
      </w:r>
      <w:r>
        <w:tab/>
      </w:r>
      <w:r>
        <w:tab/>
      </w:r>
      <w:r>
        <w:tab/>
      </w:r>
      <w:r>
        <w:t>69</w:t>
      </w:r>
    </w:p>
    <w:p w:rsidR="00786129" w:rsidRDefault="00786129" w:rsidP="00786129">
      <w:r>
        <w:t>Article 71: Assessment by Member States</w:t>
      </w:r>
      <w:r>
        <w:tab/>
      </w:r>
      <w:r>
        <w:tab/>
      </w:r>
      <w:r>
        <w:tab/>
      </w:r>
      <w:r>
        <w:tab/>
      </w:r>
      <w:r>
        <w:tab/>
      </w:r>
      <w:r>
        <w:tab/>
      </w:r>
      <w:r>
        <w:tab/>
      </w:r>
      <w:r>
        <w:t>70</w:t>
      </w:r>
    </w:p>
    <w:p w:rsidR="00786129" w:rsidRDefault="00786129" w:rsidP="00786129">
      <w:r>
        <w:t>Article 72: Conduct of a clinical investigation</w:t>
      </w:r>
      <w:r>
        <w:tab/>
      </w:r>
      <w:r>
        <w:tab/>
      </w:r>
      <w:r>
        <w:tab/>
      </w:r>
      <w:r>
        <w:tab/>
      </w:r>
      <w:r>
        <w:tab/>
      </w:r>
      <w:r>
        <w:tab/>
      </w:r>
      <w:r>
        <w:tab/>
      </w:r>
      <w:r>
        <w:t>71</w:t>
      </w:r>
    </w:p>
    <w:p w:rsidR="00786129" w:rsidRDefault="00786129" w:rsidP="00786129">
      <w:r>
        <w:t>Article 73: Electronic system on clinical investigations</w:t>
      </w:r>
      <w:r>
        <w:tab/>
      </w:r>
      <w:r>
        <w:tab/>
      </w:r>
      <w:r>
        <w:tab/>
      </w:r>
      <w:r>
        <w:tab/>
      </w:r>
      <w:r>
        <w:tab/>
      </w:r>
      <w:r>
        <w:tab/>
      </w:r>
      <w:r>
        <w:t>72</w:t>
      </w:r>
    </w:p>
    <w:p w:rsidR="00786129" w:rsidRDefault="00786129" w:rsidP="00786129">
      <w:r>
        <w:t>Article 74: Clinical investigations regarding devices bearing the CE marking</w:t>
      </w:r>
      <w:r>
        <w:tab/>
      </w:r>
      <w:r>
        <w:tab/>
      </w:r>
      <w:r>
        <w:tab/>
      </w:r>
      <w:r>
        <w:t>72</w:t>
      </w:r>
    </w:p>
    <w:p w:rsidR="00786129" w:rsidRDefault="00786129" w:rsidP="00786129">
      <w:r>
        <w:t>Article 75: Substantial modifications to clinical investigations</w:t>
      </w:r>
      <w:r>
        <w:tab/>
      </w:r>
      <w:r>
        <w:tab/>
      </w:r>
      <w:r>
        <w:tab/>
      </w:r>
      <w:r>
        <w:tab/>
      </w:r>
      <w:r>
        <w:tab/>
      </w:r>
      <w:r>
        <w:t>73</w:t>
      </w:r>
    </w:p>
    <w:p w:rsidR="00786129" w:rsidRDefault="00786129" w:rsidP="00786129">
      <w:r>
        <w:t>Article 76: Corrective measures to be taken by Member States and information exchange between Member States</w:t>
      </w:r>
      <w:r>
        <w:tab/>
      </w:r>
      <w:r>
        <w:tab/>
      </w:r>
      <w:r>
        <w:tab/>
      </w:r>
      <w:r>
        <w:tab/>
      </w:r>
      <w:r>
        <w:tab/>
      </w:r>
      <w:r>
        <w:tab/>
      </w:r>
      <w:r>
        <w:tab/>
      </w:r>
      <w:r>
        <w:tab/>
      </w:r>
      <w:r>
        <w:tab/>
      </w:r>
      <w:r>
        <w:tab/>
      </w:r>
      <w:r>
        <w:tab/>
      </w:r>
      <w:r>
        <w:t>73</w:t>
      </w:r>
    </w:p>
    <w:p w:rsidR="00786129" w:rsidRDefault="00786129" w:rsidP="00786129">
      <w:r>
        <w:t>Article 77: Information from the sponsor at the end of a clinical investigation or in the event of a temporary halt or early termination</w:t>
      </w:r>
      <w:r>
        <w:tab/>
      </w:r>
      <w:r>
        <w:tab/>
      </w:r>
      <w:r>
        <w:tab/>
      </w:r>
      <w:r>
        <w:tab/>
      </w:r>
      <w:r>
        <w:tab/>
      </w:r>
      <w:r>
        <w:tab/>
      </w:r>
      <w:r>
        <w:tab/>
      </w:r>
      <w:r>
        <w:tab/>
      </w:r>
      <w:r>
        <w:t>74</w:t>
      </w:r>
    </w:p>
    <w:p w:rsidR="00786129" w:rsidRDefault="00786129" w:rsidP="00786129">
      <w:r>
        <w:t>Article 78: Coordinated assessment procedure for clinical investigations</w:t>
      </w:r>
      <w:r>
        <w:tab/>
      </w:r>
      <w:r>
        <w:tab/>
      </w:r>
      <w:r>
        <w:tab/>
      </w:r>
      <w:r>
        <w:tab/>
      </w:r>
      <w:r>
        <w:t>74</w:t>
      </w:r>
    </w:p>
    <w:p w:rsidR="00786129" w:rsidRDefault="00786129" w:rsidP="00786129">
      <w:r>
        <w:t>Article 79: Review of coordinated assessment procedure</w:t>
      </w:r>
      <w:r>
        <w:tab/>
      </w:r>
      <w:r>
        <w:tab/>
      </w:r>
      <w:r>
        <w:tab/>
      </w:r>
      <w:r>
        <w:tab/>
      </w:r>
      <w:r>
        <w:tab/>
      </w:r>
      <w:r>
        <w:tab/>
      </w:r>
      <w:r>
        <w:t>76</w:t>
      </w:r>
    </w:p>
    <w:p w:rsidR="00786129" w:rsidRDefault="00786129" w:rsidP="00786129">
      <w:r>
        <w:t>Article 80: Recording and reporting of adverse events that occur during clinical investigations</w:t>
      </w:r>
      <w:r>
        <w:tab/>
        <w:t>76</w:t>
      </w:r>
    </w:p>
    <w:p w:rsidR="00786129" w:rsidRDefault="00786129" w:rsidP="00786129">
      <w:r>
        <w:t>Article 81: Implementing acts</w:t>
      </w:r>
      <w:r>
        <w:tab/>
      </w:r>
      <w:r>
        <w:tab/>
      </w:r>
      <w:r>
        <w:tab/>
      </w:r>
      <w:r>
        <w:tab/>
      </w:r>
      <w:r>
        <w:tab/>
      </w:r>
      <w:r>
        <w:tab/>
      </w:r>
      <w:r>
        <w:tab/>
      </w:r>
      <w:r>
        <w:tab/>
      </w:r>
      <w:r>
        <w:tab/>
      </w:r>
      <w:r>
        <w:t>77</w:t>
      </w:r>
    </w:p>
    <w:p w:rsidR="00786129" w:rsidRDefault="00786129" w:rsidP="00786129">
      <w:r>
        <w:t>Article 82: Requirements regarding other clinical investigations</w:t>
      </w:r>
      <w:r>
        <w:tab/>
      </w:r>
      <w:r>
        <w:tab/>
      </w:r>
      <w:r>
        <w:tab/>
      </w:r>
      <w:r>
        <w:tab/>
      </w:r>
      <w:r>
        <w:tab/>
      </w:r>
      <w:r>
        <w:t>78</w:t>
      </w:r>
    </w:p>
    <w:p w:rsidR="00786129" w:rsidRDefault="00786129" w:rsidP="00786129">
      <w:r>
        <w:t>CHAPTER VII: POST-MARKET SURVEILLANCE, VIGILANCE AND MARKET SURVEILLANCE</w:t>
      </w:r>
      <w:r>
        <w:tab/>
      </w:r>
      <w:r>
        <w:tab/>
      </w:r>
      <w:r>
        <w:t>78</w:t>
      </w:r>
    </w:p>
    <w:p w:rsidR="00786129" w:rsidRDefault="00786129" w:rsidP="00786129">
      <w:r>
        <w:lastRenderedPageBreak/>
        <w:t>SECTION 1: Post-market surveillance</w:t>
      </w:r>
      <w:r>
        <w:tab/>
      </w:r>
      <w:r>
        <w:tab/>
      </w:r>
      <w:r>
        <w:tab/>
      </w:r>
      <w:r>
        <w:tab/>
      </w:r>
      <w:r>
        <w:tab/>
      </w:r>
      <w:r>
        <w:tab/>
      </w:r>
      <w:r>
        <w:tab/>
      </w:r>
      <w:r>
        <w:tab/>
      </w:r>
      <w:r>
        <w:t>78</w:t>
      </w:r>
    </w:p>
    <w:p w:rsidR="00786129" w:rsidRDefault="00786129" w:rsidP="00786129">
      <w:r w:rsidRPr="000909C8">
        <w:rPr>
          <w:highlight w:val="yellow"/>
        </w:rPr>
        <w:t>Article 83: Post-market surveillance system of the manufacturer</w:t>
      </w:r>
      <w:r>
        <w:tab/>
      </w:r>
      <w:r>
        <w:tab/>
      </w:r>
      <w:r>
        <w:tab/>
      </w:r>
      <w:r>
        <w:tab/>
      </w:r>
      <w:r>
        <w:tab/>
      </w:r>
      <w:r>
        <w:t>78</w:t>
      </w:r>
    </w:p>
    <w:p w:rsidR="00786129" w:rsidRDefault="00786129" w:rsidP="00786129">
      <w:r>
        <w:t>Article 84: Post-market surveillance plan</w:t>
      </w:r>
      <w:r>
        <w:tab/>
      </w:r>
      <w:r>
        <w:tab/>
      </w:r>
      <w:r>
        <w:tab/>
      </w:r>
      <w:r>
        <w:tab/>
      </w:r>
      <w:r>
        <w:tab/>
      </w:r>
      <w:r>
        <w:tab/>
      </w:r>
      <w:r>
        <w:tab/>
      </w:r>
      <w:r>
        <w:t>79</w:t>
      </w:r>
    </w:p>
    <w:p w:rsidR="00786129" w:rsidRDefault="00786129" w:rsidP="00786129">
      <w:r>
        <w:t>Article 85: Post-market surveillance report</w:t>
      </w:r>
      <w:r>
        <w:tab/>
      </w:r>
      <w:r>
        <w:tab/>
      </w:r>
      <w:r>
        <w:tab/>
      </w:r>
      <w:r>
        <w:tab/>
      </w:r>
      <w:r>
        <w:tab/>
      </w:r>
      <w:r>
        <w:tab/>
      </w:r>
      <w:r>
        <w:tab/>
      </w:r>
      <w:r>
        <w:t>79</w:t>
      </w:r>
    </w:p>
    <w:p w:rsidR="00786129" w:rsidRDefault="00786129" w:rsidP="00786129">
      <w:r>
        <w:t>Article 86: Periodic safety update report</w:t>
      </w:r>
      <w:r>
        <w:tab/>
      </w:r>
      <w:r>
        <w:tab/>
      </w:r>
      <w:r>
        <w:tab/>
      </w:r>
      <w:r>
        <w:tab/>
      </w:r>
      <w:r>
        <w:tab/>
      </w:r>
      <w:r>
        <w:tab/>
      </w:r>
      <w:r>
        <w:tab/>
      </w:r>
      <w:r>
        <w:tab/>
        <w:t>79</w:t>
      </w:r>
    </w:p>
    <w:p w:rsidR="00786129" w:rsidRDefault="00786129" w:rsidP="00786129">
      <w:r>
        <w:t>SECTION 2: Vigilance</w:t>
      </w:r>
      <w:r>
        <w:tab/>
      </w:r>
      <w:r>
        <w:tab/>
      </w:r>
      <w:r>
        <w:tab/>
      </w:r>
      <w:r>
        <w:tab/>
      </w:r>
      <w:r>
        <w:tab/>
      </w:r>
      <w:r>
        <w:tab/>
      </w:r>
      <w:r>
        <w:tab/>
      </w:r>
      <w:r>
        <w:tab/>
      </w:r>
      <w:r>
        <w:tab/>
      </w:r>
      <w:r>
        <w:tab/>
      </w:r>
      <w:r>
        <w:t>79</w:t>
      </w:r>
    </w:p>
    <w:p w:rsidR="00786129" w:rsidRDefault="00786129" w:rsidP="00786129">
      <w:r>
        <w:t>Article 87: Reporting of serious incidents and field safety corrective actions</w:t>
      </w:r>
      <w:r>
        <w:tab/>
      </w:r>
      <w:r>
        <w:tab/>
      </w:r>
      <w:r>
        <w:tab/>
      </w:r>
      <w:r>
        <w:t>79</w:t>
      </w:r>
    </w:p>
    <w:p w:rsidR="00786129" w:rsidRDefault="00786129" w:rsidP="00786129">
      <w:r>
        <w:t>Article 88: Trend reporting</w:t>
      </w:r>
      <w:r>
        <w:tab/>
      </w:r>
      <w:r>
        <w:tab/>
      </w:r>
      <w:r>
        <w:tab/>
      </w:r>
      <w:r>
        <w:tab/>
      </w:r>
      <w:r>
        <w:tab/>
      </w:r>
      <w:r>
        <w:tab/>
      </w:r>
      <w:r>
        <w:tab/>
      </w:r>
      <w:r>
        <w:tab/>
      </w:r>
      <w:r>
        <w:tab/>
      </w:r>
      <w:r>
        <w:t>81</w:t>
      </w:r>
    </w:p>
    <w:p w:rsidR="00786129" w:rsidRDefault="00786129" w:rsidP="00786129">
      <w:r>
        <w:t>Article 89: Analysis of serious incidents and field safety corrective actions</w:t>
      </w:r>
      <w:r>
        <w:tab/>
      </w:r>
      <w:r>
        <w:tab/>
      </w:r>
      <w:r>
        <w:tab/>
      </w:r>
      <w:r>
        <w:t>81</w:t>
      </w:r>
    </w:p>
    <w:p w:rsidR="00786129" w:rsidRDefault="00786129" w:rsidP="00786129">
      <w:r>
        <w:t>Article 90: Analysis of vigilance data</w:t>
      </w:r>
      <w:r>
        <w:tab/>
      </w:r>
      <w:r>
        <w:tab/>
      </w:r>
      <w:r>
        <w:tab/>
      </w:r>
      <w:r>
        <w:tab/>
      </w:r>
      <w:r>
        <w:tab/>
      </w:r>
      <w:r>
        <w:tab/>
      </w:r>
      <w:r>
        <w:tab/>
      </w:r>
      <w:r>
        <w:tab/>
      </w:r>
      <w:r>
        <w:t>83</w:t>
      </w:r>
    </w:p>
    <w:p w:rsidR="00786129" w:rsidRDefault="00786129" w:rsidP="00786129">
      <w:r>
        <w:t>Article 91: Implementing acts</w:t>
      </w:r>
      <w:r>
        <w:tab/>
      </w:r>
      <w:r>
        <w:tab/>
      </w:r>
      <w:r>
        <w:tab/>
      </w:r>
      <w:r>
        <w:tab/>
      </w:r>
      <w:r>
        <w:tab/>
      </w:r>
      <w:r>
        <w:tab/>
      </w:r>
      <w:r>
        <w:tab/>
      </w:r>
      <w:r>
        <w:tab/>
      </w:r>
      <w:r>
        <w:tab/>
      </w:r>
      <w:r>
        <w:t>83</w:t>
      </w:r>
    </w:p>
    <w:p w:rsidR="00786129" w:rsidRDefault="00786129" w:rsidP="00786129">
      <w:r>
        <w:t>Article 92: Electronic system on vigilance and on post-market surveillance</w:t>
      </w:r>
      <w:r>
        <w:tab/>
      </w:r>
      <w:r>
        <w:tab/>
      </w:r>
      <w:r>
        <w:tab/>
      </w:r>
      <w:r>
        <w:t>83</w:t>
      </w:r>
    </w:p>
    <w:p w:rsidR="00786129" w:rsidRDefault="00786129" w:rsidP="00786129"/>
    <w:p w:rsidR="00786129" w:rsidRDefault="00786129" w:rsidP="00786129">
      <w:r>
        <w:t>ANNEXES</w:t>
      </w:r>
      <w:r>
        <w:tab/>
      </w:r>
      <w:r>
        <w:tab/>
      </w:r>
      <w:r>
        <w:tab/>
      </w:r>
      <w:r>
        <w:tab/>
      </w:r>
      <w:r>
        <w:tab/>
      </w:r>
      <w:r>
        <w:tab/>
      </w:r>
      <w:r>
        <w:tab/>
      </w:r>
      <w:r>
        <w:tab/>
      </w:r>
      <w:r>
        <w:tab/>
      </w:r>
      <w:r>
        <w:tab/>
      </w:r>
      <w:r>
        <w:tab/>
      </w:r>
      <w:r>
        <w:t>100</w:t>
      </w:r>
    </w:p>
    <w:p w:rsidR="00786129" w:rsidRDefault="00786129" w:rsidP="00786129">
      <w:r w:rsidRPr="00E1052B">
        <w:rPr>
          <w:highlight w:val="yellow"/>
        </w:rPr>
        <w:t xml:space="preserve">ANNEX </w:t>
      </w:r>
      <w:proofErr w:type="gramStart"/>
      <w:r w:rsidRPr="00E1052B">
        <w:rPr>
          <w:highlight w:val="yellow"/>
        </w:rPr>
        <w:t>I</w:t>
      </w:r>
      <w:proofErr w:type="gramEnd"/>
      <w:r w:rsidRPr="00E1052B">
        <w:rPr>
          <w:highlight w:val="yellow"/>
        </w:rPr>
        <w:t>: GENERAL SAFETY AND PERFORMANCE REQUIREMENTS</w:t>
      </w:r>
      <w:r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Pr="00E1052B">
        <w:rPr>
          <w:highlight w:val="yellow"/>
        </w:rPr>
        <w:t>101</w:t>
      </w:r>
    </w:p>
    <w:p w:rsidR="00786129" w:rsidRDefault="00786129" w:rsidP="00786129">
      <w:r w:rsidRPr="00E1052B">
        <w:rPr>
          <w:highlight w:val="yellow"/>
        </w:rPr>
        <w:t>ANNEX II: TECHNICAL DOCUMENTATION</w:t>
      </w:r>
      <w:r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Pr="00E1052B">
        <w:rPr>
          <w:highlight w:val="yellow"/>
        </w:rPr>
        <w:t>116</w:t>
      </w:r>
    </w:p>
    <w:p w:rsidR="00786129" w:rsidRDefault="00786129" w:rsidP="00786129">
      <w:r w:rsidRPr="00E1052B">
        <w:rPr>
          <w:highlight w:val="yellow"/>
        </w:rPr>
        <w:t>ANNEX III: TECHNICAL DOCUMENTATION ON POST-MARKET SURVEILLANCE</w:t>
      </w:r>
      <w:r w:rsidRPr="00E1052B">
        <w:rPr>
          <w:highlight w:val="yellow"/>
        </w:rPr>
        <w:tab/>
      </w:r>
      <w:r w:rsidR="000909C8" w:rsidRPr="00E1052B">
        <w:rPr>
          <w:highlight w:val="yellow"/>
        </w:rPr>
        <w:tab/>
      </w:r>
      <w:r w:rsidR="000909C8" w:rsidRPr="00E1052B">
        <w:rPr>
          <w:highlight w:val="yellow"/>
        </w:rPr>
        <w:tab/>
      </w:r>
      <w:r w:rsidRPr="00E1052B">
        <w:rPr>
          <w:highlight w:val="yellow"/>
        </w:rPr>
        <w:t>120</w:t>
      </w:r>
    </w:p>
    <w:p w:rsidR="00786129" w:rsidRDefault="00786129" w:rsidP="00786129">
      <w:r w:rsidRPr="00E1052B">
        <w:rPr>
          <w:highlight w:val="yellow"/>
        </w:rPr>
        <w:t>ANNEX IV: EU DECLARATION OF CONFORMITY</w:t>
      </w:r>
      <w:r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Pr="00E1052B">
        <w:rPr>
          <w:highlight w:val="yellow"/>
        </w:rPr>
        <w:t>121</w:t>
      </w:r>
    </w:p>
    <w:p w:rsidR="00786129" w:rsidRDefault="00786129" w:rsidP="00786129">
      <w:r w:rsidRPr="00E1052B">
        <w:rPr>
          <w:highlight w:val="yellow"/>
        </w:rPr>
        <w:t>ANNEX V: CE MARKING OF CONFORMITY</w:t>
      </w:r>
      <w:r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Pr="00E1052B">
        <w:rPr>
          <w:highlight w:val="yellow"/>
        </w:rPr>
        <w:t>122</w:t>
      </w:r>
    </w:p>
    <w:p w:rsidR="00786129" w:rsidRDefault="00786129" w:rsidP="00786129">
      <w:r w:rsidRPr="00E1052B">
        <w:rPr>
          <w:highlight w:val="yellow"/>
        </w:rPr>
        <w:t>ANNEX VI: INFORMATION TO BE SUBMITTED UPON THE REGISTRATION OF DEVICES AND ECONOMIC OPERATORS IN ACCORDANCE WITH ARTICLES 29(4) AND 31, CORE DATA ELEMENTS TO BE PROVIDED TO THE UDI DATABASE TOGETHER WITH THE UDI-DI IN ACCORDANCE WITH ARTICLES 28 AND 29, AND THE UDI SYSTEM</w:t>
      </w:r>
      <w:r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Pr="00E1052B">
        <w:rPr>
          <w:highlight w:val="yellow"/>
        </w:rPr>
        <w:t>123</w:t>
      </w:r>
    </w:p>
    <w:p w:rsidR="00786129" w:rsidRDefault="00786129" w:rsidP="00786129">
      <w:r>
        <w:t>ANNEX VII: REQUIREMENTS TO BE MET BY NOTIFIED BODIES</w:t>
      </w:r>
      <w:r>
        <w:tab/>
      </w:r>
      <w:r w:rsidR="000909C8">
        <w:tab/>
      </w:r>
      <w:r w:rsidR="000909C8">
        <w:tab/>
      </w:r>
      <w:r w:rsidR="000909C8">
        <w:tab/>
      </w:r>
      <w:r w:rsidR="000909C8">
        <w:tab/>
      </w:r>
      <w:r>
        <w:t>131</w:t>
      </w:r>
    </w:p>
    <w:p w:rsidR="00786129" w:rsidRDefault="00786129" w:rsidP="00786129">
      <w:r w:rsidRPr="00E1052B">
        <w:rPr>
          <w:highlight w:val="yellow"/>
        </w:rPr>
        <w:t>ANNEX VIII: CLASSIFICATION RULES</w:t>
      </w:r>
      <w:r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Pr="00E1052B">
        <w:rPr>
          <w:highlight w:val="yellow"/>
        </w:rPr>
        <w:t>149</w:t>
      </w:r>
    </w:p>
    <w:p w:rsidR="00786129" w:rsidRDefault="00786129" w:rsidP="00786129">
      <w:r w:rsidRPr="00E1052B">
        <w:rPr>
          <w:highlight w:val="yellow"/>
        </w:rPr>
        <w:t>ANNEX IX: CONFORMITY ASSESSMENT BASED ON A QUALITY MANAGEMENT SYSTEM AND ON ASSESSMENT OF TECHNICAL DOCUMENTATION</w:t>
      </w:r>
      <w:r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Pr="00E1052B">
        <w:rPr>
          <w:highlight w:val="yellow"/>
        </w:rPr>
        <w:t>155</w:t>
      </w:r>
    </w:p>
    <w:p w:rsidR="00786129" w:rsidRPr="00E1052B" w:rsidRDefault="00786129" w:rsidP="00786129">
      <w:pPr>
        <w:rPr>
          <w:highlight w:val="yellow"/>
        </w:rPr>
      </w:pPr>
      <w:r w:rsidRPr="00E1052B">
        <w:rPr>
          <w:highlight w:val="yellow"/>
        </w:rPr>
        <w:t>ANNEX X: CONFORMITY ASSESSMENT BASED ON TYPE-EXAMINATION</w:t>
      </w:r>
      <w:r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Pr="00E1052B">
        <w:rPr>
          <w:highlight w:val="yellow"/>
        </w:rPr>
        <w:t>164</w:t>
      </w:r>
    </w:p>
    <w:p w:rsidR="00786129" w:rsidRPr="00E1052B" w:rsidRDefault="00786129" w:rsidP="00786129">
      <w:pPr>
        <w:rPr>
          <w:highlight w:val="yellow"/>
        </w:rPr>
      </w:pPr>
      <w:r w:rsidRPr="00E1052B">
        <w:rPr>
          <w:highlight w:val="yellow"/>
        </w:rPr>
        <w:t>ANNEX XI: CONFORMITY ASSESSMENT BASED ON PRODUCT CONFORMITY VERIFICATION</w:t>
      </w:r>
      <w:r w:rsidR="000909C8" w:rsidRPr="00E1052B">
        <w:rPr>
          <w:highlight w:val="yellow"/>
        </w:rPr>
        <w:tab/>
      </w:r>
      <w:r w:rsidRPr="00E1052B">
        <w:rPr>
          <w:highlight w:val="yellow"/>
        </w:rPr>
        <w:tab/>
        <w:t>167</w:t>
      </w:r>
    </w:p>
    <w:p w:rsidR="00786129" w:rsidRDefault="00786129" w:rsidP="00786129">
      <w:r w:rsidRPr="00E1052B">
        <w:rPr>
          <w:highlight w:val="yellow"/>
        </w:rPr>
        <w:lastRenderedPageBreak/>
        <w:t>PART A: PRODUCTION QUALITY ASSURANCE</w:t>
      </w:r>
      <w:r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Pr="00E1052B">
        <w:rPr>
          <w:highlight w:val="yellow"/>
        </w:rPr>
        <w:t>167</w:t>
      </w:r>
    </w:p>
    <w:p w:rsidR="00786129" w:rsidRDefault="00786129" w:rsidP="00786129">
      <w:r w:rsidRPr="00E1052B">
        <w:rPr>
          <w:highlight w:val="yellow"/>
        </w:rPr>
        <w:t>PART B: PRODUCT VERIFICATION</w:t>
      </w:r>
      <w:r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Pr="00E1052B">
        <w:rPr>
          <w:highlight w:val="yellow"/>
        </w:rPr>
        <w:t>169</w:t>
      </w:r>
    </w:p>
    <w:p w:rsidR="00786129" w:rsidRDefault="00786129" w:rsidP="00786129">
      <w:r w:rsidRPr="00E1052B">
        <w:rPr>
          <w:highlight w:val="yellow"/>
        </w:rPr>
        <w:t>ANNEX XIV: CLINICAL EVALUATION AND POST-MARKET CLINICAL FOLLOW-UP</w:t>
      </w:r>
      <w:r w:rsidRPr="00E1052B">
        <w:rPr>
          <w:highlight w:val="yellow"/>
        </w:rPr>
        <w:tab/>
      </w:r>
      <w:r w:rsidR="000909C8" w:rsidRPr="00E1052B">
        <w:rPr>
          <w:highlight w:val="yellow"/>
        </w:rPr>
        <w:tab/>
      </w:r>
      <w:r w:rsidR="000909C8" w:rsidRPr="00E1052B">
        <w:rPr>
          <w:highlight w:val="yellow"/>
        </w:rPr>
        <w:tab/>
      </w:r>
      <w:r w:rsidRPr="00E1052B">
        <w:rPr>
          <w:highlight w:val="yellow"/>
        </w:rPr>
        <w:t>175</w:t>
      </w:r>
    </w:p>
    <w:p w:rsidR="00786129" w:rsidRDefault="00786129" w:rsidP="00786129">
      <w:r w:rsidRPr="00E1052B">
        <w:rPr>
          <w:highlight w:val="yellow"/>
        </w:rPr>
        <w:t>ANNEX XV: CLINICAL INVESTIGATIONS</w:t>
      </w:r>
      <w:r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Pr="00E1052B">
        <w:rPr>
          <w:highlight w:val="yellow"/>
        </w:rPr>
        <w:t>178</w:t>
      </w:r>
    </w:p>
    <w:p w:rsidR="00786129" w:rsidRDefault="00786129" w:rsidP="00786129">
      <w:r w:rsidRPr="00E1052B">
        <w:rPr>
          <w:highlight w:val="yellow"/>
        </w:rPr>
        <w:t>ANNEX XVI: LIST OF GROUPS OF PRODUCTS WITHOUT AN INTENDED MEDICAL PURPOSE REFERRED TO IN</w:t>
      </w:r>
      <w:r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000909C8" w:rsidRPr="00E1052B">
        <w:rPr>
          <w:highlight w:val="yellow"/>
        </w:rPr>
        <w:tab/>
      </w:r>
      <w:r w:rsidRPr="00E1052B">
        <w:rPr>
          <w:highlight w:val="yellow"/>
        </w:rPr>
        <w:t>184</w:t>
      </w:r>
    </w:p>
    <w:p w:rsidR="00011CC9" w:rsidRDefault="00011CC9">
      <w:bookmarkStart w:id="0" w:name="_GoBack"/>
      <w:bookmarkEnd w:id="0"/>
    </w:p>
    <w:sectPr w:rsidR="00011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C88"/>
    <w:rsid w:val="00011CC9"/>
    <w:rsid w:val="000909C8"/>
    <w:rsid w:val="00786129"/>
    <w:rsid w:val="00BF2C88"/>
    <w:rsid w:val="00E10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BF2C88"/>
    <w:pPr>
      <w:keepNext/>
      <w:keepLines/>
      <w:spacing w:after="570" w:line="259" w:lineRule="auto"/>
      <w:ind w:right="2"/>
      <w:jc w:val="center"/>
      <w:outlineLvl w:val="0"/>
    </w:pPr>
    <w:rPr>
      <w:rFonts w:ascii="Calibri" w:eastAsia="Calibri" w:hAnsi="Calibri" w:cs="Calibri"/>
      <w:b/>
      <w:i/>
      <w:color w:val="7030A0"/>
      <w:sz w:val="40"/>
      <w:szCs w:val="40"/>
      <w:u w:val="single"/>
      <w:lang w:eastAsia="en-GB"/>
    </w:rPr>
  </w:style>
  <w:style w:type="paragraph" w:styleId="Heading2">
    <w:name w:val="heading 2"/>
    <w:next w:val="Normal"/>
    <w:link w:val="Heading2Char"/>
    <w:uiPriority w:val="9"/>
    <w:unhideWhenUsed/>
    <w:qFormat/>
    <w:rsid w:val="00BF2C88"/>
    <w:pPr>
      <w:keepNext/>
      <w:keepLines/>
      <w:spacing w:after="226" w:line="265" w:lineRule="auto"/>
      <w:ind w:left="10" w:right="1" w:hanging="10"/>
      <w:outlineLvl w:val="1"/>
    </w:pPr>
    <w:rPr>
      <w:rFonts w:ascii="Calibri" w:eastAsia="Calibri" w:hAnsi="Calibri" w:cs="Calibri"/>
      <w:b/>
      <w:color w:val="050004"/>
      <w:lang w:eastAsia="en-GB"/>
    </w:rPr>
  </w:style>
  <w:style w:type="paragraph" w:styleId="Heading3">
    <w:name w:val="heading 3"/>
    <w:next w:val="Normal"/>
    <w:link w:val="Heading3Char"/>
    <w:uiPriority w:val="9"/>
    <w:unhideWhenUsed/>
    <w:qFormat/>
    <w:rsid w:val="00BF2C88"/>
    <w:pPr>
      <w:keepNext/>
      <w:keepLines/>
      <w:spacing w:after="199" w:line="265" w:lineRule="auto"/>
      <w:ind w:left="10" w:hanging="10"/>
      <w:outlineLvl w:val="2"/>
    </w:pPr>
    <w:rPr>
      <w:rFonts w:ascii="Calibri" w:eastAsia="Calibri" w:hAnsi="Calibri" w:cs="Calibri"/>
      <w:b/>
      <w:i/>
      <w:color w:val="05000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C88"/>
    <w:rPr>
      <w:rFonts w:ascii="Calibri" w:eastAsia="Calibri" w:hAnsi="Calibri" w:cs="Calibri"/>
      <w:b/>
      <w:i/>
      <w:color w:val="7030A0"/>
      <w:sz w:val="40"/>
      <w:szCs w:val="40"/>
      <w:u w:val="single"/>
      <w:lang w:eastAsia="en-GB"/>
    </w:rPr>
  </w:style>
  <w:style w:type="character" w:customStyle="1" w:styleId="Heading2Char">
    <w:name w:val="Heading 2 Char"/>
    <w:basedOn w:val="DefaultParagraphFont"/>
    <w:link w:val="Heading2"/>
    <w:uiPriority w:val="9"/>
    <w:rsid w:val="00BF2C88"/>
    <w:rPr>
      <w:rFonts w:ascii="Calibri" w:eastAsia="Calibri" w:hAnsi="Calibri" w:cs="Calibri"/>
      <w:b/>
      <w:color w:val="050004"/>
      <w:lang w:eastAsia="en-GB"/>
    </w:rPr>
  </w:style>
  <w:style w:type="character" w:customStyle="1" w:styleId="Heading3Char">
    <w:name w:val="Heading 3 Char"/>
    <w:basedOn w:val="DefaultParagraphFont"/>
    <w:link w:val="Heading3"/>
    <w:uiPriority w:val="9"/>
    <w:rsid w:val="00BF2C88"/>
    <w:rPr>
      <w:rFonts w:ascii="Calibri" w:eastAsia="Calibri" w:hAnsi="Calibri" w:cs="Calibri"/>
      <w:b/>
      <w:i/>
      <w:color w:val="050004"/>
      <w:lang w:eastAsia="en-GB"/>
    </w:rPr>
  </w:style>
  <w:style w:type="paragraph" w:styleId="TOCHeading">
    <w:name w:val="TOC Heading"/>
    <w:basedOn w:val="Heading1"/>
    <w:next w:val="Normal"/>
    <w:uiPriority w:val="39"/>
    <w:unhideWhenUsed/>
    <w:qFormat/>
    <w:rsid w:val="00BF2C88"/>
    <w:pPr>
      <w:spacing w:before="240" w:after="0"/>
      <w:ind w:right="0"/>
      <w:outlineLvl w:val="9"/>
    </w:pPr>
    <w:rPr>
      <w:rFonts w:asciiTheme="majorHAnsi" w:eastAsiaTheme="majorEastAsia" w:hAnsiTheme="majorHAnsi" w:cstheme="majorBidi"/>
      <w:color w:val="365F91" w:themeColor="accent1" w:themeShade="BF"/>
      <w:lang w:val="en-US" w:eastAsia="en-US"/>
    </w:rPr>
  </w:style>
  <w:style w:type="paragraph" w:styleId="TOC1">
    <w:name w:val="toc 1"/>
    <w:basedOn w:val="Normal"/>
    <w:next w:val="Normal"/>
    <w:autoRedefine/>
    <w:uiPriority w:val="39"/>
    <w:unhideWhenUsed/>
    <w:rsid w:val="00BF2C88"/>
    <w:pPr>
      <w:tabs>
        <w:tab w:val="right" w:leader="dot" w:pos="9204"/>
      </w:tabs>
      <w:spacing w:after="100" w:line="222" w:lineRule="auto"/>
      <w:ind w:hanging="10"/>
      <w:jc w:val="both"/>
    </w:pPr>
    <w:rPr>
      <w:rFonts w:ascii="Calibri" w:eastAsia="Calibri" w:hAnsi="Calibri" w:cs="Calibri"/>
      <w:b/>
      <w:noProof/>
      <w:color w:val="7030A0"/>
      <w:sz w:val="19"/>
      <w:lang w:eastAsia="en-GB"/>
    </w:rPr>
  </w:style>
  <w:style w:type="paragraph" w:styleId="TOC2">
    <w:name w:val="toc 2"/>
    <w:basedOn w:val="Normal"/>
    <w:next w:val="Normal"/>
    <w:autoRedefine/>
    <w:uiPriority w:val="39"/>
    <w:unhideWhenUsed/>
    <w:rsid w:val="00BF2C88"/>
    <w:pPr>
      <w:spacing w:after="100" w:line="222" w:lineRule="auto"/>
      <w:ind w:left="190" w:hanging="10"/>
      <w:jc w:val="both"/>
    </w:pPr>
    <w:rPr>
      <w:rFonts w:ascii="Calibri" w:eastAsia="Calibri" w:hAnsi="Calibri" w:cs="Calibri"/>
      <w:color w:val="050004"/>
      <w:sz w:val="19"/>
      <w:lang w:eastAsia="en-GB"/>
    </w:rPr>
  </w:style>
  <w:style w:type="paragraph" w:styleId="TOC3">
    <w:name w:val="toc 3"/>
    <w:basedOn w:val="Normal"/>
    <w:next w:val="Normal"/>
    <w:autoRedefine/>
    <w:uiPriority w:val="39"/>
    <w:unhideWhenUsed/>
    <w:rsid w:val="00BF2C88"/>
    <w:pPr>
      <w:spacing w:after="100" w:line="222" w:lineRule="auto"/>
      <w:ind w:left="380" w:hanging="10"/>
      <w:jc w:val="both"/>
    </w:pPr>
    <w:rPr>
      <w:rFonts w:ascii="Calibri" w:eastAsia="Calibri" w:hAnsi="Calibri" w:cs="Calibri"/>
      <w:color w:val="050004"/>
      <w:sz w:val="19"/>
      <w:lang w:eastAsia="en-GB"/>
    </w:rPr>
  </w:style>
  <w:style w:type="paragraph" w:styleId="Footer">
    <w:name w:val="footer"/>
    <w:basedOn w:val="Normal"/>
    <w:link w:val="FooterChar"/>
    <w:uiPriority w:val="99"/>
    <w:unhideWhenUsed/>
    <w:rsid w:val="00BF2C88"/>
    <w:pPr>
      <w:tabs>
        <w:tab w:val="center" w:pos="4513"/>
        <w:tab w:val="right" w:pos="9026"/>
      </w:tabs>
      <w:spacing w:after="0" w:line="240" w:lineRule="auto"/>
      <w:ind w:left="10" w:hanging="10"/>
      <w:jc w:val="both"/>
    </w:pPr>
    <w:rPr>
      <w:rFonts w:ascii="Calibri" w:eastAsia="Calibri" w:hAnsi="Calibri" w:cs="Calibri"/>
      <w:color w:val="050004"/>
      <w:sz w:val="19"/>
      <w:lang w:eastAsia="en-GB"/>
    </w:rPr>
  </w:style>
  <w:style w:type="character" w:customStyle="1" w:styleId="FooterChar">
    <w:name w:val="Footer Char"/>
    <w:basedOn w:val="DefaultParagraphFont"/>
    <w:link w:val="Footer"/>
    <w:uiPriority w:val="99"/>
    <w:rsid w:val="00BF2C88"/>
    <w:rPr>
      <w:rFonts w:ascii="Calibri" w:eastAsia="Calibri" w:hAnsi="Calibri" w:cs="Calibri"/>
      <w:color w:val="050004"/>
      <w:sz w:val="19"/>
      <w:lang w:eastAsia="en-GB"/>
    </w:rPr>
  </w:style>
  <w:style w:type="paragraph" w:styleId="ListParagraph">
    <w:name w:val="List Paragraph"/>
    <w:basedOn w:val="Normal"/>
    <w:uiPriority w:val="34"/>
    <w:qFormat/>
    <w:rsid w:val="00BF2C88"/>
    <w:pPr>
      <w:spacing w:after="205" w:line="222" w:lineRule="auto"/>
      <w:ind w:left="720" w:hanging="10"/>
      <w:contextualSpacing/>
      <w:jc w:val="both"/>
    </w:pPr>
    <w:rPr>
      <w:rFonts w:ascii="Calibri" w:eastAsia="Calibri" w:hAnsi="Calibri" w:cs="Calibri"/>
      <w:color w:val="050004"/>
      <w:sz w:val="19"/>
      <w:lang w:eastAsia="en-GB"/>
    </w:rPr>
  </w:style>
  <w:style w:type="character" w:styleId="Hyperlink">
    <w:name w:val="Hyperlink"/>
    <w:basedOn w:val="DefaultParagraphFont"/>
    <w:uiPriority w:val="99"/>
    <w:unhideWhenUsed/>
    <w:rsid w:val="00BF2C88"/>
    <w:rPr>
      <w:color w:val="0000FF" w:themeColor="hyperlink"/>
      <w:u w:val="single"/>
    </w:rPr>
  </w:style>
  <w:style w:type="paragraph" w:styleId="TOC4">
    <w:name w:val="toc 4"/>
    <w:basedOn w:val="Normal"/>
    <w:next w:val="Normal"/>
    <w:autoRedefine/>
    <w:uiPriority w:val="39"/>
    <w:unhideWhenUsed/>
    <w:rsid w:val="00BF2C88"/>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BF2C88"/>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BF2C88"/>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BF2C88"/>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BF2C88"/>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BF2C88"/>
    <w:pPr>
      <w:spacing w:after="100" w:line="259" w:lineRule="auto"/>
      <w:ind w:left="1760"/>
    </w:pPr>
    <w:rPr>
      <w:rFonts w:eastAsiaTheme="minorEastAsia"/>
      <w:lang w:eastAsia="en-GB"/>
    </w:rPr>
  </w:style>
  <w:style w:type="character" w:customStyle="1" w:styleId="HeaderChar">
    <w:name w:val="Header Char"/>
    <w:basedOn w:val="DefaultParagraphFont"/>
    <w:link w:val="Header"/>
    <w:uiPriority w:val="99"/>
    <w:semiHidden/>
    <w:rsid w:val="00BF2C88"/>
    <w:rPr>
      <w:rFonts w:ascii="Calibri" w:eastAsia="Calibri" w:hAnsi="Calibri" w:cs="Calibri"/>
      <w:color w:val="050004"/>
      <w:sz w:val="19"/>
      <w:lang w:eastAsia="en-GB"/>
    </w:rPr>
  </w:style>
  <w:style w:type="paragraph" w:styleId="Header">
    <w:name w:val="header"/>
    <w:basedOn w:val="Normal"/>
    <w:link w:val="HeaderChar"/>
    <w:uiPriority w:val="99"/>
    <w:semiHidden/>
    <w:unhideWhenUsed/>
    <w:rsid w:val="00BF2C88"/>
    <w:pPr>
      <w:tabs>
        <w:tab w:val="center" w:pos="4513"/>
        <w:tab w:val="right" w:pos="9026"/>
      </w:tabs>
      <w:spacing w:after="0" w:line="240" w:lineRule="auto"/>
      <w:ind w:left="10" w:hanging="10"/>
      <w:jc w:val="both"/>
    </w:pPr>
    <w:rPr>
      <w:rFonts w:ascii="Calibri" w:eastAsia="Calibri" w:hAnsi="Calibri" w:cs="Calibri"/>
      <w:color w:val="050004"/>
      <w:sz w:val="19"/>
      <w:lang w:eastAsia="en-GB"/>
    </w:rPr>
  </w:style>
  <w:style w:type="character" w:styleId="BookTitle">
    <w:name w:val="Book Title"/>
    <w:basedOn w:val="DefaultParagraphFont"/>
    <w:uiPriority w:val="33"/>
    <w:qFormat/>
    <w:rsid w:val="00BF2C88"/>
    <w:rPr>
      <w:b/>
      <w:bCs/>
      <w:i/>
      <w:iCs/>
      <w:spacing w:val="5"/>
    </w:rPr>
  </w:style>
  <w:style w:type="paragraph" w:styleId="BalloonText">
    <w:name w:val="Balloon Text"/>
    <w:basedOn w:val="Normal"/>
    <w:link w:val="BalloonTextChar"/>
    <w:uiPriority w:val="99"/>
    <w:semiHidden/>
    <w:unhideWhenUsed/>
    <w:rsid w:val="00BF2C88"/>
    <w:pPr>
      <w:spacing w:after="0" w:line="240" w:lineRule="auto"/>
      <w:ind w:left="10" w:hanging="10"/>
      <w:jc w:val="both"/>
    </w:pPr>
    <w:rPr>
      <w:rFonts w:ascii="Tahoma" w:eastAsia="Calibri" w:hAnsi="Tahoma" w:cs="Tahoma"/>
      <w:color w:val="050004"/>
      <w:sz w:val="16"/>
      <w:szCs w:val="16"/>
      <w:lang w:eastAsia="en-GB"/>
    </w:rPr>
  </w:style>
  <w:style w:type="character" w:customStyle="1" w:styleId="BalloonTextChar">
    <w:name w:val="Balloon Text Char"/>
    <w:basedOn w:val="DefaultParagraphFont"/>
    <w:link w:val="BalloonText"/>
    <w:uiPriority w:val="99"/>
    <w:semiHidden/>
    <w:rsid w:val="00BF2C88"/>
    <w:rPr>
      <w:rFonts w:ascii="Tahoma" w:eastAsia="Calibri" w:hAnsi="Tahoma" w:cs="Tahoma"/>
      <w:color w:val="050004"/>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BF2C88"/>
    <w:pPr>
      <w:keepNext/>
      <w:keepLines/>
      <w:spacing w:after="570" w:line="259" w:lineRule="auto"/>
      <w:ind w:right="2"/>
      <w:jc w:val="center"/>
      <w:outlineLvl w:val="0"/>
    </w:pPr>
    <w:rPr>
      <w:rFonts w:ascii="Calibri" w:eastAsia="Calibri" w:hAnsi="Calibri" w:cs="Calibri"/>
      <w:b/>
      <w:i/>
      <w:color w:val="7030A0"/>
      <w:sz w:val="40"/>
      <w:szCs w:val="40"/>
      <w:u w:val="single"/>
      <w:lang w:eastAsia="en-GB"/>
    </w:rPr>
  </w:style>
  <w:style w:type="paragraph" w:styleId="Heading2">
    <w:name w:val="heading 2"/>
    <w:next w:val="Normal"/>
    <w:link w:val="Heading2Char"/>
    <w:uiPriority w:val="9"/>
    <w:unhideWhenUsed/>
    <w:qFormat/>
    <w:rsid w:val="00BF2C88"/>
    <w:pPr>
      <w:keepNext/>
      <w:keepLines/>
      <w:spacing w:after="226" w:line="265" w:lineRule="auto"/>
      <w:ind w:left="10" w:right="1" w:hanging="10"/>
      <w:outlineLvl w:val="1"/>
    </w:pPr>
    <w:rPr>
      <w:rFonts w:ascii="Calibri" w:eastAsia="Calibri" w:hAnsi="Calibri" w:cs="Calibri"/>
      <w:b/>
      <w:color w:val="050004"/>
      <w:lang w:eastAsia="en-GB"/>
    </w:rPr>
  </w:style>
  <w:style w:type="paragraph" w:styleId="Heading3">
    <w:name w:val="heading 3"/>
    <w:next w:val="Normal"/>
    <w:link w:val="Heading3Char"/>
    <w:uiPriority w:val="9"/>
    <w:unhideWhenUsed/>
    <w:qFormat/>
    <w:rsid w:val="00BF2C88"/>
    <w:pPr>
      <w:keepNext/>
      <w:keepLines/>
      <w:spacing w:after="199" w:line="265" w:lineRule="auto"/>
      <w:ind w:left="10" w:hanging="10"/>
      <w:outlineLvl w:val="2"/>
    </w:pPr>
    <w:rPr>
      <w:rFonts w:ascii="Calibri" w:eastAsia="Calibri" w:hAnsi="Calibri" w:cs="Calibri"/>
      <w:b/>
      <w:i/>
      <w:color w:val="05000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C88"/>
    <w:rPr>
      <w:rFonts w:ascii="Calibri" w:eastAsia="Calibri" w:hAnsi="Calibri" w:cs="Calibri"/>
      <w:b/>
      <w:i/>
      <w:color w:val="7030A0"/>
      <w:sz w:val="40"/>
      <w:szCs w:val="40"/>
      <w:u w:val="single"/>
      <w:lang w:eastAsia="en-GB"/>
    </w:rPr>
  </w:style>
  <w:style w:type="character" w:customStyle="1" w:styleId="Heading2Char">
    <w:name w:val="Heading 2 Char"/>
    <w:basedOn w:val="DefaultParagraphFont"/>
    <w:link w:val="Heading2"/>
    <w:uiPriority w:val="9"/>
    <w:rsid w:val="00BF2C88"/>
    <w:rPr>
      <w:rFonts w:ascii="Calibri" w:eastAsia="Calibri" w:hAnsi="Calibri" w:cs="Calibri"/>
      <w:b/>
      <w:color w:val="050004"/>
      <w:lang w:eastAsia="en-GB"/>
    </w:rPr>
  </w:style>
  <w:style w:type="character" w:customStyle="1" w:styleId="Heading3Char">
    <w:name w:val="Heading 3 Char"/>
    <w:basedOn w:val="DefaultParagraphFont"/>
    <w:link w:val="Heading3"/>
    <w:uiPriority w:val="9"/>
    <w:rsid w:val="00BF2C88"/>
    <w:rPr>
      <w:rFonts w:ascii="Calibri" w:eastAsia="Calibri" w:hAnsi="Calibri" w:cs="Calibri"/>
      <w:b/>
      <w:i/>
      <w:color w:val="050004"/>
      <w:lang w:eastAsia="en-GB"/>
    </w:rPr>
  </w:style>
  <w:style w:type="paragraph" w:styleId="TOCHeading">
    <w:name w:val="TOC Heading"/>
    <w:basedOn w:val="Heading1"/>
    <w:next w:val="Normal"/>
    <w:uiPriority w:val="39"/>
    <w:unhideWhenUsed/>
    <w:qFormat/>
    <w:rsid w:val="00BF2C88"/>
    <w:pPr>
      <w:spacing w:before="240" w:after="0"/>
      <w:ind w:right="0"/>
      <w:outlineLvl w:val="9"/>
    </w:pPr>
    <w:rPr>
      <w:rFonts w:asciiTheme="majorHAnsi" w:eastAsiaTheme="majorEastAsia" w:hAnsiTheme="majorHAnsi" w:cstheme="majorBidi"/>
      <w:color w:val="365F91" w:themeColor="accent1" w:themeShade="BF"/>
      <w:lang w:val="en-US" w:eastAsia="en-US"/>
    </w:rPr>
  </w:style>
  <w:style w:type="paragraph" w:styleId="TOC1">
    <w:name w:val="toc 1"/>
    <w:basedOn w:val="Normal"/>
    <w:next w:val="Normal"/>
    <w:autoRedefine/>
    <w:uiPriority w:val="39"/>
    <w:unhideWhenUsed/>
    <w:rsid w:val="00BF2C88"/>
    <w:pPr>
      <w:tabs>
        <w:tab w:val="right" w:leader="dot" w:pos="9204"/>
      </w:tabs>
      <w:spacing w:after="100" w:line="222" w:lineRule="auto"/>
      <w:ind w:hanging="10"/>
      <w:jc w:val="both"/>
    </w:pPr>
    <w:rPr>
      <w:rFonts w:ascii="Calibri" w:eastAsia="Calibri" w:hAnsi="Calibri" w:cs="Calibri"/>
      <w:b/>
      <w:noProof/>
      <w:color w:val="7030A0"/>
      <w:sz w:val="19"/>
      <w:lang w:eastAsia="en-GB"/>
    </w:rPr>
  </w:style>
  <w:style w:type="paragraph" w:styleId="TOC2">
    <w:name w:val="toc 2"/>
    <w:basedOn w:val="Normal"/>
    <w:next w:val="Normal"/>
    <w:autoRedefine/>
    <w:uiPriority w:val="39"/>
    <w:unhideWhenUsed/>
    <w:rsid w:val="00BF2C88"/>
    <w:pPr>
      <w:spacing w:after="100" w:line="222" w:lineRule="auto"/>
      <w:ind w:left="190" w:hanging="10"/>
      <w:jc w:val="both"/>
    </w:pPr>
    <w:rPr>
      <w:rFonts w:ascii="Calibri" w:eastAsia="Calibri" w:hAnsi="Calibri" w:cs="Calibri"/>
      <w:color w:val="050004"/>
      <w:sz w:val="19"/>
      <w:lang w:eastAsia="en-GB"/>
    </w:rPr>
  </w:style>
  <w:style w:type="paragraph" w:styleId="TOC3">
    <w:name w:val="toc 3"/>
    <w:basedOn w:val="Normal"/>
    <w:next w:val="Normal"/>
    <w:autoRedefine/>
    <w:uiPriority w:val="39"/>
    <w:unhideWhenUsed/>
    <w:rsid w:val="00BF2C88"/>
    <w:pPr>
      <w:spacing w:after="100" w:line="222" w:lineRule="auto"/>
      <w:ind w:left="380" w:hanging="10"/>
      <w:jc w:val="both"/>
    </w:pPr>
    <w:rPr>
      <w:rFonts w:ascii="Calibri" w:eastAsia="Calibri" w:hAnsi="Calibri" w:cs="Calibri"/>
      <w:color w:val="050004"/>
      <w:sz w:val="19"/>
      <w:lang w:eastAsia="en-GB"/>
    </w:rPr>
  </w:style>
  <w:style w:type="paragraph" w:styleId="Footer">
    <w:name w:val="footer"/>
    <w:basedOn w:val="Normal"/>
    <w:link w:val="FooterChar"/>
    <w:uiPriority w:val="99"/>
    <w:unhideWhenUsed/>
    <w:rsid w:val="00BF2C88"/>
    <w:pPr>
      <w:tabs>
        <w:tab w:val="center" w:pos="4513"/>
        <w:tab w:val="right" w:pos="9026"/>
      </w:tabs>
      <w:spacing w:after="0" w:line="240" w:lineRule="auto"/>
      <w:ind w:left="10" w:hanging="10"/>
      <w:jc w:val="both"/>
    </w:pPr>
    <w:rPr>
      <w:rFonts w:ascii="Calibri" w:eastAsia="Calibri" w:hAnsi="Calibri" w:cs="Calibri"/>
      <w:color w:val="050004"/>
      <w:sz w:val="19"/>
      <w:lang w:eastAsia="en-GB"/>
    </w:rPr>
  </w:style>
  <w:style w:type="character" w:customStyle="1" w:styleId="FooterChar">
    <w:name w:val="Footer Char"/>
    <w:basedOn w:val="DefaultParagraphFont"/>
    <w:link w:val="Footer"/>
    <w:uiPriority w:val="99"/>
    <w:rsid w:val="00BF2C88"/>
    <w:rPr>
      <w:rFonts w:ascii="Calibri" w:eastAsia="Calibri" w:hAnsi="Calibri" w:cs="Calibri"/>
      <w:color w:val="050004"/>
      <w:sz w:val="19"/>
      <w:lang w:eastAsia="en-GB"/>
    </w:rPr>
  </w:style>
  <w:style w:type="paragraph" w:styleId="ListParagraph">
    <w:name w:val="List Paragraph"/>
    <w:basedOn w:val="Normal"/>
    <w:uiPriority w:val="34"/>
    <w:qFormat/>
    <w:rsid w:val="00BF2C88"/>
    <w:pPr>
      <w:spacing w:after="205" w:line="222" w:lineRule="auto"/>
      <w:ind w:left="720" w:hanging="10"/>
      <w:contextualSpacing/>
      <w:jc w:val="both"/>
    </w:pPr>
    <w:rPr>
      <w:rFonts w:ascii="Calibri" w:eastAsia="Calibri" w:hAnsi="Calibri" w:cs="Calibri"/>
      <w:color w:val="050004"/>
      <w:sz w:val="19"/>
      <w:lang w:eastAsia="en-GB"/>
    </w:rPr>
  </w:style>
  <w:style w:type="character" w:styleId="Hyperlink">
    <w:name w:val="Hyperlink"/>
    <w:basedOn w:val="DefaultParagraphFont"/>
    <w:uiPriority w:val="99"/>
    <w:unhideWhenUsed/>
    <w:rsid w:val="00BF2C88"/>
    <w:rPr>
      <w:color w:val="0000FF" w:themeColor="hyperlink"/>
      <w:u w:val="single"/>
    </w:rPr>
  </w:style>
  <w:style w:type="paragraph" w:styleId="TOC4">
    <w:name w:val="toc 4"/>
    <w:basedOn w:val="Normal"/>
    <w:next w:val="Normal"/>
    <w:autoRedefine/>
    <w:uiPriority w:val="39"/>
    <w:unhideWhenUsed/>
    <w:rsid w:val="00BF2C88"/>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BF2C88"/>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BF2C88"/>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BF2C88"/>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BF2C88"/>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BF2C88"/>
    <w:pPr>
      <w:spacing w:after="100" w:line="259" w:lineRule="auto"/>
      <w:ind w:left="1760"/>
    </w:pPr>
    <w:rPr>
      <w:rFonts w:eastAsiaTheme="minorEastAsia"/>
      <w:lang w:eastAsia="en-GB"/>
    </w:rPr>
  </w:style>
  <w:style w:type="character" w:customStyle="1" w:styleId="HeaderChar">
    <w:name w:val="Header Char"/>
    <w:basedOn w:val="DefaultParagraphFont"/>
    <w:link w:val="Header"/>
    <w:uiPriority w:val="99"/>
    <w:semiHidden/>
    <w:rsid w:val="00BF2C88"/>
    <w:rPr>
      <w:rFonts w:ascii="Calibri" w:eastAsia="Calibri" w:hAnsi="Calibri" w:cs="Calibri"/>
      <w:color w:val="050004"/>
      <w:sz w:val="19"/>
      <w:lang w:eastAsia="en-GB"/>
    </w:rPr>
  </w:style>
  <w:style w:type="paragraph" w:styleId="Header">
    <w:name w:val="header"/>
    <w:basedOn w:val="Normal"/>
    <w:link w:val="HeaderChar"/>
    <w:uiPriority w:val="99"/>
    <w:semiHidden/>
    <w:unhideWhenUsed/>
    <w:rsid w:val="00BF2C88"/>
    <w:pPr>
      <w:tabs>
        <w:tab w:val="center" w:pos="4513"/>
        <w:tab w:val="right" w:pos="9026"/>
      </w:tabs>
      <w:spacing w:after="0" w:line="240" w:lineRule="auto"/>
      <w:ind w:left="10" w:hanging="10"/>
      <w:jc w:val="both"/>
    </w:pPr>
    <w:rPr>
      <w:rFonts w:ascii="Calibri" w:eastAsia="Calibri" w:hAnsi="Calibri" w:cs="Calibri"/>
      <w:color w:val="050004"/>
      <w:sz w:val="19"/>
      <w:lang w:eastAsia="en-GB"/>
    </w:rPr>
  </w:style>
  <w:style w:type="character" w:styleId="BookTitle">
    <w:name w:val="Book Title"/>
    <w:basedOn w:val="DefaultParagraphFont"/>
    <w:uiPriority w:val="33"/>
    <w:qFormat/>
    <w:rsid w:val="00BF2C88"/>
    <w:rPr>
      <w:b/>
      <w:bCs/>
      <w:i/>
      <w:iCs/>
      <w:spacing w:val="5"/>
    </w:rPr>
  </w:style>
  <w:style w:type="paragraph" w:styleId="BalloonText">
    <w:name w:val="Balloon Text"/>
    <w:basedOn w:val="Normal"/>
    <w:link w:val="BalloonTextChar"/>
    <w:uiPriority w:val="99"/>
    <w:semiHidden/>
    <w:unhideWhenUsed/>
    <w:rsid w:val="00BF2C88"/>
    <w:pPr>
      <w:spacing w:after="0" w:line="240" w:lineRule="auto"/>
      <w:ind w:left="10" w:hanging="10"/>
      <w:jc w:val="both"/>
    </w:pPr>
    <w:rPr>
      <w:rFonts w:ascii="Tahoma" w:eastAsia="Calibri" w:hAnsi="Tahoma" w:cs="Tahoma"/>
      <w:color w:val="050004"/>
      <w:sz w:val="16"/>
      <w:szCs w:val="16"/>
      <w:lang w:eastAsia="en-GB"/>
    </w:rPr>
  </w:style>
  <w:style w:type="character" w:customStyle="1" w:styleId="BalloonTextChar">
    <w:name w:val="Balloon Text Char"/>
    <w:basedOn w:val="DefaultParagraphFont"/>
    <w:link w:val="BalloonText"/>
    <w:uiPriority w:val="99"/>
    <w:semiHidden/>
    <w:rsid w:val="00BF2C88"/>
    <w:rPr>
      <w:rFonts w:ascii="Tahoma" w:eastAsia="Calibri" w:hAnsi="Tahoma" w:cs="Tahoma"/>
      <w:color w:val="050004"/>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Pharmi Med</dc:creator>
  <cp:lastModifiedBy>Pharmi Med</cp:lastModifiedBy>
  <cp:revision>1</cp:revision>
  <dcterms:created xsi:type="dcterms:W3CDTF">2017-12-10T18:16:00Z</dcterms:created>
  <dcterms:modified xsi:type="dcterms:W3CDTF">2017-12-10T18:52:00Z</dcterms:modified>
</cp:coreProperties>
</file>